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AB" w:rsidRDefault="00033EAB" w:rsidP="00033EAB">
      <w:pPr>
        <w:jc w:val="both"/>
        <w:rPr>
          <w:rFonts w:ascii="Arial Narrow" w:eastAsia="Times New Roman" w:hAnsi="Arial Narrow" w:cs="Times New Roman"/>
          <w:b/>
          <w:bCs/>
          <w:color w:val="000000"/>
          <w:sz w:val="22"/>
          <w:szCs w:val="22"/>
          <w:lang w:val="ro-RO"/>
        </w:rPr>
      </w:pPr>
      <w:r w:rsidRPr="00033EAB">
        <w:rPr>
          <w:rFonts w:ascii="Arial Narrow" w:eastAsia="Times New Roman" w:hAnsi="Arial Narrow" w:cs="Times New Roman"/>
          <w:b/>
          <w:bCs/>
          <w:color w:val="000000"/>
          <w:sz w:val="22"/>
          <w:szCs w:val="22"/>
          <w:lang w:val="ro-RO"/>
        </w:rPr>
        <w:t>ORDIN nr. 875/C din 3 martie 2015 pentru stabilirea plafonului valoric în vederea decontării lentilelor necesare corecţiei vizuale pentru funcţionarii publici cu statut special din sistemul administraţiei penitenciare</w:t>
      </w:r>
    </w:p>
    <w:p w:rsidR="00033EAB" w:rsidRPr="00033EAB" w:rsidRDefault="00033EAB" w:rsidP="00033EAB">
      <w:pPr>
        <w:jc w:val="both"/>
        <w:rPr>
          <w:rFonts w:ascii="Arial Narrow" w:eastAsia="Times New Roman" w:hAnsi="Arial Narrow" w:cs="Times New Roman"/>
          <w:color w:val="000000"/>
          <w:sz w:val="22"/>
          <w:szCs w:val="22"/>
          <w:lang w:val="ro-RO"/>
        </w:rPr>
      </w:pPr>
    </w:p>
    <w:p w:rsidR="00033EAB" w:rsidRPr="00033EAB" w:rsidRDefault="00033EAB" w:rsidP="00033EAB">
      <w:pPr>
        <w:jc w:val="both"/>
        <w:rPr>
          <w:rFonts w:ascii="Arial Narrow" w:eastAsia="Times New Roman" w:hAnsi="Arial Narrow" w:cs="Times New Roman"/>
          <w:sz w:val="22"/>
          <w:szCs w:val="22"/>
          <w:lang w:val="ro-RO"/>
        </w:rPr>
      </w:pPr>
      <w:bookmarkStart w:id="0" w:name="do|pa1"/>
      <w:bookmarkEnd w:id="0"/>
      <w:r w:rsidRPr="00033EAB">
        <w:rPr>
          <w:rFonts w:ascii="Arial Narrow" w:eastAsia="Times New Roman" w:hAnsi="Arial Narrow" w:cs="Times New Roman"/>
          <w:sz w:val="22"/>
          <w:szCs w:val="22"/>
          <w:lang w:val="ro-RO"/>
        </w:rPr>
        <w:t>Având în vedere dispoziţiile art. 1</w:t>
      </w:r>
      <w:r w:rsidRPr="00033EAB">
        <w:rPr>
          <w:rFonts w:ascii="Arial Narrow" w:eastAsia="Times New Roman" w:hAnsi="Arial Narrow" w:cs="Times New Roman"/>
          <w:sz w:val="22"/>
          <w:szCs w:val="22"/>
          <w:vertAlign w:val="superscript"/>
          <w:lang w:val="ro-RO"/>
        </w:rPr>
        <w:t>1</w:t>
      </w:r>
      <w:r w:rsidRPr="00033EAB">
        <w:rPr>
          <w:rFonts w:ascii="Arial Narrow" w:eastAsia="Times New Roman" w:hAnsi="Arial Narrow" w:cs="Times New Roman"/>
          <w:sz w:val="22"/>
          <w:szCs w:val="22"/>
          <w:lang w:val="ro-RO"/>
        </w:rPr>
        <w:t> alin. (4) din Hotărârea Guvernului nr. </w:t>
      </w:r>
      <w:hyperlink r:id="rId5" w:history="1">
        <w:r w:rsidRPr="00033EAB">
          <w:rPr>
            <w:rFonts w:ascii="Arial Narrow" w:eastAsia="Times New Roman" w:hAnsi="Arial Narrow" w:cs="Times New Roman"/>
            <w:bCs/>
            <w:sz w:val="22"/>
            <w:szCs w:val="22"/>
            <w:lang w:val="ro-RO"/>
          </w:rPr>
          <w:t>1.996/2004</w:t>
        </w:r>
      </w:hyperlink>
      <w:r w:rsidRPr="00033EAB">
        <w:rPr>
          <w:rFonts w:ascii="Arial Narrow" w:eastAsia="Times New Roman" w:hAnsi="Arial Narrow" w:cs="Times New Roman"/>
          <w:sz w:val="22"/>
          <w:szCs w:val="22"/>
          <w:lang w:val="ro-RO"/>
        </w:rPr>
        <w:t> privind condiţiile de acordare în mod gratuit a asistenţei medicale şi psihologice, medicamentelor, protezelor dentare şi dispozitivelor medicale destinate recuperării unor deficienţe organice sau funcţionale pentru funcţionarii publici cu statut special din sistemul administraţiei penitenciare, cu modificările şi completările ulterioare,</w:t>
      </w:r>
    </w:p>
    <w:p w:rsidR="00033EAB" w:rsidRDefault="00033EAB" w:rsidP="00033EAB">
      <w:pPr>
        <w:jc w:val="both"/>
        <w:rPr>
          <w:rFonts w:ascii="Arial Narrow" w:eastAsia="Times New Roman" w:hAnsi="Arial Narrow" w:cs="Times New Roman"/>
          <w:sz w:val="22"/>
          <w:szCs w:val="22"/>
          <w:lang w:val="ro-RO"/>
        </w:rPr>
      </w:pPr>
      <w:bookmarkStart w:id="1" w:name="do|pa2"/>
      <w:bookmarkEnd w:id="1"/>
    </w:p>
    <w:p w:rsidR="00033EAB" w:rsidRPr="00033EAB" w:rsidRDefault="00033EAB" w:rsidP="00033EAB">
      <w:pPr>
        <w:jc w:val="both"/>
        <w:rPr>
          <w:rFonts w:ascii="Arial Narrow" w:eastAsia="Times New Roman" w:hAnsi="Arial Narrow" w:cs="Times New Roman"/>
          <w:sz w:val="22"/>
          <w:szCs w:val="22"/>
          <w:lang w:val="ro-RO"/>
        </w:rPr>
      </w:pPr>
      <w:r w:rsidRPr="00033EAB">
        <w:rPr>
          <w:rFonts w:ascii="Arial Narrow" w:eastAsia="Times New Roman" w:hAnsi="Arial Narrow" w:cs="Times New Roman"/>
          <w:sz w:val="22"/>
          <w:szCs w:val="22"/>
          <w:lang w:val="ro-RO"/>
        </w:rPr>
        <w:t>în temeiul art. 13 din Hotărârea Guvernului nr. </w:t>
      </w:r>
      <w:hyperlink r:id="rId6" w:history="1">
        <w:r w:rsidRPr="00033EAB">
          <w:rPr>
            <w:rFonts w:ascii="Arial Narrow" w:eastAsia="Times New Roman" w:hAnsi="Arial Narrow" w:cs="Times New Roman"/>
            <w:bCs/>
            <w:sz w:val="22"/>
            <w:szCs w:val="22"/>
            <w:lang w:val="ro-RO"/>
          </w:rPr>
          <w:t>652/2009</w:t>
        </w:r>
      </w:hyperlink>
      <w:r w:rsidRPr="00033EAB">
        <w:rPr>
          <w:rFonts w:ascii="Arial Narrow" w:eastAsia="Times New Roman" w:hAnsi="Arial Narrow" w:cs="Times New Roman"/>
          <w:sz w:val="22"/>
          <w:szCs w:val="22"/>
          <w:lang w:val="ro-RO"/>
        </w:rPr>
        <w:t> privind organizarea şi funcţionarea Ministerului Justiţiei, cu modificările şi completările ulterioare,</w:t>
      </w:r>
    </w:p>
    <w:p w:rsidR="00033EAB" w:rsidRDefault="00033EAB" w:rsidP="00033EAB">
      <w:pPr>
        <w:jc w:val="both"/>
        <w:rPr>
          <w:rFonts w:ascii="Arial Narrow" w:eastAsia="Times New Roman" w:hAnsi="Arial Narrow" w:cs="Times New Roman"/>
          <w:bCs/>
          <w:sz w:val="22"/>
          <w:szCs w:val="22"/>
          <w:lang w:val="ro-RO"/>
        </w:rPr>
      </w:pPr>
      <w:bookmarkStart w:id="2" w:name="do|pa3"/>
      <w:bookmarkEnd w:id="2"/>
    </w:p>
    <w:p w:rsidR="00033EAB" w:rsidRDefault="00033EAB" w:rsidP="00033EAB">
      <w:pPr>
        <w:jc w:val="both"/>
        <w:rPr>
          <w:rFonts w:ascii="Arial Narrow" w:eastAsia="Times New Roman" w:hAnsi="Arial Narrow" w:cs="Times New Roman"/>
          <w:sz w:val="22"/>
          <w:szCs w:val="22"/>
          <w:lang w:val="ro-RO"/>
        </w:rPr>
      </w:pPr>
      <w:bookmarkStart w:id="3" w:name="_GoBack"/>
      <w:bookmarkEnd w:id="3"/>
      <w:r w:rsidRPr="00033EAB">
        <w:rPr>
          <w:rFonts w:ascii="Arial Narrow" w:eastAsia="Times New Roman" w:hAnsi="Arial Narrow" w:cs="Times New Roman"/>
          <w:bCs/>
          <w:sz w:val="22"/>
          <w:szCs w:val="22"/>
          <w:lang w:val="ro-RO"/>
        </w:rPr>
        <w:t>ministrul justiţiei</w:t>
      </w:r>
      <w:r w:rsidRPr="00033EAB">
        <w:rPr>
          <w:rFonts w:ascii="Arial Narrow" w:eastAsia="Times New Roman" w:hAnsi="Arial Narrow" w:cs="Times New Roman"/>
          <w:sz w:val="22"/>
          <w:szCs w:val="22"/>
          <w:lang w:val="ro-RO"/>
        </w:rPr>
        <w:t> emite următorul ordin:</w:t>
      </w:r>
    </w:p>
    <w:p w:rsidR="00033EAB" w:rsidRPr="00033EAB" w:rsidRDefault="00033EAB" w:rsidP="00033EAB">
      <w:pPr>
        <w:jc w:val="both"/>
        <w:rPr>
          <w:rFonts w:ascii="Arial Narrow" w:eastAsia="Times New Roman" w:hAnsi="Arial Narrow" w:cs="Times New Roman"/>
          <w:sz w:val="22"/>
          <w:szCs w:val="22"/>
          <w:lang w:val="ro-RO"/>
        </w:rPr>
      </w:pPr>
    </w:p>
    <w:p w:rsidR="00033EAB" w:rsidRPr="00033EAB" w:rsidRDefault="00033EAB" w:rsidP="00033EAB">
      <w:pPr>
        <w:jc w:val="both"/>
        <w:rPr>
          <w:rFonts w:ascii="Arial Narrow" w:eastAsia="Times New Roman" w:hAnsi="Arial Narrow" w:cs="Times New Roman"/>
          <w:sz w:val="22"/>
          <w:szCs w:val="22"/>
          <w:lang w:val="ro-RO"/>
        </w:rPr>
      </w:pPr>
      <w:bookmarkStart w:id="4" w:name="do|ar1"/>
      <w:bookmarkEnd w:id="4"/>
      <w:r w:rsidRPr="00033EAB">
        <w:rPr>
          <w:rFonts w:ascii="Arial Narrow" w:eastAsia="Times New Roman" w:hAnsi="Arial Narrow" w:cs="Times New Roman"/>
          <w:bCs/>
          <w:sz w:val="22"/>
          <w:szCs w:val="22"/>
          <w:lang w:val="ro-RO"/>
        </w:rPr>
        <w:t>Art. 1</w:t>
      </w:r>
    </w:p>
    <w:p w:rsidR="00033EAB" w:rsidRPr="00033EAB" w:rsidRDefault="00033EAB" w:rsidP="00033EAB">
      <w:pPr>
        <w:jc w:val="both"/>
        <w:rPr>
          <w:rFonts w:ascii="Arial Narrow" w:eastAsia="Times New Roman" w:hAnsi="Arial Narrow" w:cs="Times New Roman"/>
          <w:sz w:val="22"/>
          <w:szCs w:val="22"/>
          <w:lang w:val="ro-RO"/>
        </w:rPr>
      </w:pPr>
      <w:bookmarkStart w:id="5" w:name="do|ar1|al1"/>
      <w:bookmarkEnd w:id="5"/>
      <w:r w:rsidRPr="00033EAB">
        <w:rPr>
          <w:rFonts w:ascii="Arial Narrow" w:eastAsia="Times New Roman" w:hAnsi="Arial Narrow" w:cs="Times New Roman"/>
          <w:bCs/>
          <w:sz w:val="22"/>
          <w:szCs w:val="22"/>
          <w:lang w:val="ro-RO"/>
        </w:rPr>
        <w:t>(1)</w:t>
      </w:r>
      <w:r w:rsidRPr="00033EAB">
        <w:rPr>
          <w:rFonts w:ascii="Arial Narrow" w:eastAsia="Times New Roman" w:hAnsi="Arial Narrow" w:cs="Times New Roman"/>
          <w:sz w:val="22"/>
          <w:szCs w:val="22"/>
          <w:lang w:val="ro-RO"/>
        </w:rPr>
        <w:t>Funcţionarii publici cu statut special din sistemul administraţiei penitenciare în activitate beneficiază, la recomandarea medicului oftalmolog, de lentile necesare corecţiei vizuale, a căror contravaloare se decontează din bugetul angajatorului, în limita unui plafon valoric.</w:t>
      </w:r>
    </w:p>
    <w:p w:rsidR="00033EAB" w:rsidRPr="00033EAB" w:rsidRDefault="00033EAB" w:rsidP="00033EAB">
      <w:pPr>
        <w:jc w:val="both"/>
        <w:rPr>
          <w:rFonts w:ascii="Arial Narrow" w:eastAsia="Times New Roman" w:hAnsi="Arial Narrow" w:cs="Times New Roman"/>
          <w:sz w:val="22"/>
          <w:szCs w:val="22"/>
          <w:lang w:val="ro-RO"/>
        </w:rPr>
      </w:pPr>
      <w:bookmarkStart w:id="6" w:name="do|ar1|al2"/>
      <w:bookmarkEnd w:id="6"/>
      <w:r w:rsidRPr="00033EAB">
        <w:rPr>
          <w:rFonts w:ascii="Arial Narrow" w:eastAsia="Times New Roman" w:hAnsi="Arial Narrow" w:cs="Times New Roman"/>
          <w:bCs/>
          <w:sz w:val="22"/>
          <w:szCs w:val="22"/>
          <w:lang w:val="ro-RO"/>
        </w:rPr>
        <w:t>(2)</w:t>
      </w:r>
      <w:r w:rsidRPr="00033EAB">
        <w:rPr>
          <w:rFonts w:ascii="Arial Narrow" w:eastAsia="Times New Roman" w:hAnsi="Arial Narrow" w:cs="Times New Roman"/>
          <w:sz w:val="22"/>
          <w:szCs w:val="22"/>
          <w:lang w:val="ro-RO"/>
        </w:rPr>
        <w:t>Decontarea în cazul preschimbării lentilelor necesare corecţiei vizuale se face numai la modificarea diagnosticului iniţial.</w:t>
      </w:r>
    </w:p>
    <w:p w:rsidR="00033EAB" w:rsidRDefault="00033EAB" w:rsidP="00033EAB">
      <w:pPr>
        <w:jc w:val="both"/>
        <w:rPr>
          <w:rFonts w:ascii="Arial Narrow" w:eastAsia="Times New Roman" w:hAnsi="Arial Narrow" w:cs="Times New Roman"/>
          <w:bCs/>
          <w:sz w:val="22"/>
          <w:szCs w:val="22"/>
          <w:lang w:val="ro-RO"/>
        </w:rPr>
      </w:pPr>
      <w:bookmarkStart w:id="7" w:name="do|ar2"/>
      <w:bookmarkEnd w:id="7"/>
    </w:p>
    <w:p w:rsidR="00033EAB" w:rsidRPr="00033EAB" w:rsidRDefault="00033EAB" w:rsidP="00033EAB">
      <w:pPr>
        <w:jc w:val="both"/>
        <w:rPr>
          <w:rFonts w:ascii="Arial Narrow" w:eastAsia="Times New Roman" w:hAnsi="Arial Narrow" w:cs="Times New Roman"/>
          <w:sz w:val="22"/>
          <w:szCs w:val="22"/>
          <w:lang w:val="ro-RO"/>
        </w:rPr>
      </w:pPr>
      <w:r w:rsidRPr="00033EAB">
        <w:rPr>
          <w:rFonts w:ascii="Arial Narrow" w:eastAsia="Times New Roman" w:hAnsi="Arial Narrow" w:cs="Times New Roman"/>
          <w:bCs/>
          <w:sz w:val="22"/>
          <w:szCs w:val="22"/>
          <w:lang w:val="ro-RO"/>
        </w:rPr>
        <w:t>Art. 2</w:t>
      </w:r>
    </w:p>
    <w:p w:rsidR="00033EAB" w:rsidRPr="00033EAB" w:rsidRDefault="00033EAB" w:rsidP="00033EAB">
      <w:pPr>
        <w:jc w:val="both"/>
        <w:rPr>
          <w:rFonts w:ascii="Arial Narrow" w:eastAsia="Times New Roman" w:hAnsi="Arial Narrow" w:cs="Times New Roman"/>
          <w:sz w:val="22"/>
          <w:szCs w:val="22"/>
          <w:lang w:val="ro-RO"/>
        </w:rPr>
      </w:pPr>
      <w:bookmarkStart w:id="8" w:name="do|ar2|al1"/>
      <w:bookmarkEnd w:id="8"/>
      <w:r w:rsidRPr="00033EAB">
        <w:rPr>
          <w:rFonts w:ascii="Arial Narrow" w:eastAsia="Times New Roman" w:hAnsi="Arial Narrow" w:cs="Times New Roman"/>
          <w:bCs/>
          <w:sz w:val="22"/>
          <w:szCs w:val="22"/>
          <w:lang w:val="ro-RO"/>
        </w:rPr>
        <w:t>(1)</w:t>
      </w:r>
      <w:r w:rsidRPr="00033EAB">
        <w:rPr>
          <w:rFonts w:ascii="Arial Narrow" w:eastAsia="Times New Roman" w:hAnsi="Arial Narrow" w:cs="Times New Roman"/>
          <w:sz w:val="22"/>
          <w:szCs w:val="22"/>
          <w:lang w:val="ro-RO"/>
        </w:rPr>
        <w:t>Plafonul valoric se stabileşte în euro, iar decontarea se face în lei la cursul valutar stabilit de Banca Naţională a României din ziua emiterii facturii.</w:t>
      </w:r>
    </w:p>
    <w:p w:rsidR="00033EAB" w:rsidRPr="00033EAB" w:rsidRDefault="00033EAB" w:rsidP="00033EAB">
      <w:pPr>
        <w:jc w:val="both"/>
        <w:rPr>
          <w:rFonts w:ascii="Arial Narrow" w:eastAsia="Times New Roman" w:hAnsi="Arial Narrow" w:cs="Times New Roman"/>
          <w:sz w:val="22"/>
          <w:szCs w:val="22"/>
          <w:lang w:val="ro-RO"/>
        </w:rPr>
      </w:pPr>
      <w:bookmarkStart w:id="9" w:name="do|ar2|al2"/>
      <w:bookmarkEnd w:id="9"/>
      <w:r w:rsidRPr="00033EAB">
        <w:rPr>
          <w:rFonts w:ascii="Arial Narrow" w:eastAsia="Times New Roman" w:hAnsi="Arial Narrow" w:cs="Times New Roman"/>
          <w:bCs/>
          <w:sz w:val="22"/>
          <w:szCs w:val="22"/>
          <w:lang w:val="ro-RO"/>
        </w:rPr>
        <w:t>(2)</w:t>
      </w:r>
      <w:r w:rsidRPr="00033EAB">
        <w:rPr>
          <w:rFonts w:ascii="Arial Narrow" w:eastAsia="Times New Roman" w:hAnsi="Arial Narrow" w:cs="Times New Roman"/>
          <w:sz w:val="22"/>
          <w:szCs w:val="22"/>
          <w:lang w:val="ro-RO"/>
        </w:rPr>
        <w:t>Limita maximă a plafonului valoric se stabileşte după cum urmează:</w:t>
      </w:r>
    </w:p>
    <w:p w:rsidR="00033EAB" w:rsidRPr="00033EAB" w:rsidRDefault="00033EAB" w:rsidP="00033EAB">
      <w:pPr>
        <w:jc w:val="both"/>
        <w:rPr>
          <w:rFonts w:ascii="Arial Narrow" w:eastAsia="Times New Roman" w:hAnsi="Arial Narrow" w:cs="Times New Roman"/>
          <w:sz w:val="22"/>
          <w:szCs w:val="22"/>
          <w:lang w:val="ro-RO"/>
        </w:rPr>
      </w:pPr>
      <w:bookmarkStart w:id="10" w:name="do|ar2|al2|lia"/>
      <w:bookmarkEnd w:id="10"/>
      <w:r w:rsidRPr="00033EAB">
        <w:rPr>
          <w:rFonts w:ascii="Arial Narrow" w:eastAsia="Times New Roman" w:hAnsi="Arial Narrow" w:cs="Times New Roman"/>
          <w:bCs/>
          <w:sz w:val="22"/>
          <w:szCs w:val="22"/>
          <w:lang w:val="ro-RO"/>
        </w:rPr>
        <w:t>a)</w:t>
      </w:r>
      <w:r w:rsidRPr="00033EAB">
        <w:rPr>
          <w:rFonts w:ascii="Arial Narrow" w:eastAsia="Times New Roman" w:hAnsi="Arial Narrow" w:cs="Times New Roman"/>
          <w:sz w:val="22"/>
          <w:szCs w:val="22"/>
          <w:lang w:val="ro-RO"/>
        </w:rPr>
        <w:t>plafon maxim de 110 euro, pentru afecţiuni oftalmologice cu vicii de refracţie şi tulburări de acomodare ce necesită corecţie cu lentile cu dioptrii de până la +/-4 inclusiv;</w:t>
      </w:r>
    </w:p>
    <w:p w:rsidR="00033EAB" w:rsidRPr="00033EAB" w:rsidRDefault="00033EAB" w:rsidP="00033EAB">
      <w:pPr>
        <w:jc w:val="both"/>
        <w:rPr>
          <w:rFonts w:ascii="Arial Narrow" w:eastAsia="Times New Roman" w:hAnsi="Arial Narrow" w:cs="Times New Roman"/>
          <w:sz w:val="22"/>
          <w:szCs w:val="22"/>
          <w:lang w:val="ro-RO"/>
        </w:rPr>
      </w:pPr>
      <w:bookmarkStart w:id="11" w:name="do|ar2|al2|lib"/>
      <w:bookmarkEnd w:id="11"/>
      <w:r w:rsidRPr="00033EAB">
        <w:rPr>
          <w:rFonts w:ascii="Arial Narrow" w:eastAsia="Times New Roman" w:hAnsi="Arial Narrow" w:cs="Times New Roman"/>
          <w:bCs/>
          <w:sz w:val="22"/>
          <w:szCs w:val="22"/>
          <w:lang w:val="ro-RO"/>
        </w:rPr>
        <w:t>b)</w:t>
      </w:r>
      <w:r w:rsidRPr="00033EAB">
        <w:rPr>
          <w:rFonts w:ascii="Arial Narrow" w:eastAsia="Times New Roman" w:hAnsi="Arial Narrow" w:cs="Times New Roman"/>
          <w:sz w:val="22"/>
          <w:szCs w:val="22"/>
          <w:lang w:val="ro-RO"/>
        </w:rPr>
        <w:t>plafon maxim de 200 euro, pentru afecţiuni oftalmologice cu vicii de refracţie şi tulburări de acomodare ce necesită corecţie cu lentile cu dioptrii mai mari de +/-4;</w:t>
      </w:r>
    </w:p>
    <w:p w:rsidR="00033EAB" w:rsidRPr="00033EAB" w:rsidRDefault="00033EAB" w:rsidP="00033EAB">
      <w:pPr>
        <w:jc w:val="both"/>
        <w:rPr>
          <w:rFonts w:ascii="Arial Narrow" w:eastAsia="Times New Roman" w:hAnsi="Arial Narrow" w:cs="Times New Roman"/>
          <w:sz w:val="22"/>
          <w:szCs w:val="22"/>
          <w:lang w:val="ro-RO"/>
        </w:rPr>
      </w:pPr>
      <w:bookmarkStart w:id="12" w:name="do|ar2|al2|lic"/>
      <w:bookmarkEnd w:id="12"/>
      <w:r w:rsidRPr="00033EAB">
        <w:rPr>
          <w:rFonts w:ascii="Arial Narrow" w:eastAsia="Times New Roman" w:hAnsi="Arial Narrow" w:cs="Times New Roman"/>
          <w:bCs/>
          <w:sz w:val="22"/>
          <w:szCs w:val="22"/>
          <w:lang w:val="ro-RO"/>
        </w:rPr>
        <w:t>c)</w:t>
      </w:r>
      <w:r w:rsidRPr="00033EAB">
        <w:rPr>
          <w:rFonts w:ascii="Arial Narrow" w:eastAsia="Times New Roman" w:hAnsi="Arial Narrow" w:cs="Times New Roman"/>
          <w:sz w:val="22"/>
          <w:szCs w:val="22"/>
          <w:lang w:val="ro-RO"/>
        </w:rPr>
        <w:t>plafon maxim de 300 euro, în situaţia unui diagnostic care necesită corecţie cu lentile progresive.</w:t>
      </w:r>
    </w:p>
    <w:p w:rsidR="00033EAB" w:rsidRDefault="00033EAB" w:rsidP="00033EAB">
      <w:pPr>
        <w:jc w:val="both"/>
        <w:rPr>
          <w:rFonts w:ascii="Arial Narrow" w:eastAsia="Times New Roman" w:hAnsi="Arial Narrow" w:cs="Times New Roman"/>
          <w:bCs/>
          <w:sz w:val="22"/>
          <w:szCs w:val="22"/>
          <w:lang w:val="ro-RO"/>
        </w:rPr>
      </w:pPr>
      <w:bookmarkStart w:id="13" w:name="do|ar2|al3"/>
      <w:bookmarkEnd w:id="13"/>
    </w:p>
    <w:p w:rsidR="00033EAB" w:rsidRPr="00033EAB" w:rsidRDefault="00033EAB" w:rsidP="00033EAB">
      <w:pPr>
        <w:jc w:val="both"/>
        <w:rPr>
          <w:rFonts w:ascii="Arial Narrow" w:eastAsia="Times New Roman" w:hAnsi="Arial Narrow" w:cs="Times New Roman"/>
          <w:sz w:val="22"/>
          <w:szCs w:val="22"/>
          <w:lang w:val="ro-RO"/>
        </w:rPr>
      </w:pPr>
      <w:r w:rsidRPr="00033EAB">
        <w:rPr>
          <w:rFonts w:ascii="Arial Narrow" w:eastAsia="Times New Roman" w:hAnsi="Arial Narrow" w:cs="Times New Roman"/>
          <w:bCs/>
          <w:sz w:val="22"/>
          <w:szCs w:val="22"/>
          <w:lang w:val="ro-RO"/>
        </w:rPr>
        <w:t>(3)</w:t>
      </w:r>
      <w:r w:rsidRPr="00033EAB">
        <w:rPr>
          <w:rFonts w:ascii="Arial Narrow" w:eastAsia="Times New Roman" w:hAnsi="Arial Narrow" w:cs="Times New Roman"/>
          <w:sz w:val="22"/>
          <w:szCs w:val="22"/>
          <w:lang w:val="ro-RO"/>
        </w:rPr>
        <w:t>Plafoanele prevăzute la alin. (2) includ taxa pe valoare adăugată.</w:t>
      </w:r>
    </w:p>
    <w:p w:rsidR="00033EAB" w:rsidRDefault="00033EAB" w:rsidP="00033EAB">
      <w:pPr>
        <w:jc w:val="both"/>
        <w:rPr>
          <w:rFonts w:ascii="Arial Narrow" w:eastAsia="Times New Roman" w:hAnsi="Arial Narrow" w:cs="Times New Roman"/>
          <w:bCs/>
          <w:sz w:val="22"/>
          <w:szCs w:val="22"/>
          <w:lang w:val="ro-RO"/>
        </w:rPr>
      </w:pPr>
      <w:bookmarkStart w:id="14" w:name="do|ar2|al4"/>
      <w:bookmarkEnd w:id="14"/>
    </w:p>
    <w:p w:rsidR="00033EAB" w:rsidRPr="00033EAB" w:rsidRDefault="00033EAB" w:rsidP="00033EAB">
      <w:pPr>
        <w:jc w:val="both"/>
        <w:rPr>
          <w:rFonts w:ascii="Arial Narrow" w:eastAsia="Times New Roman" w:hAnsi="Arial Narrow" w:cs="Times New Roman"/>
          <w:sz w:val="22"/>
          <w:szCs w:val="22"/>
          <w:lang w:val="ro-RO"/>
        </w:rPr>
      </w:pPr>
      <w:r w:rsidRPr="00033EAB">
        <w:rPr>
          <w:rFonts w:ascii="Arial Narrow" w:eastAsia="Times New Roman" w:hAnsi="Arial Narrow" w:cs="Times New Roman"/>
          <w:bCs/>
          <w:sz w:val="22"/>
          <w:szCs w:val="22"/>
          <w:lang w:val="ro-RO"/>
        </w:rPr>
        <w:t>(4)</w:t>
      </w:r>
      <w:r w:rsidRPr="00033EAB">
        <w:rPr>
          <w:rFonts w:ascii="Arial Narrow" w:eastAsia="Times New Roman" w:hAnsi="Arial Narrow" w:cs="Times New Roman"/>
          <w:sz w:val="22"/>
          <w:szCs w:val="22"/>
          <w:lang w:val="ro-RO"/>
        </w:rPr>
        <w:t>În situaţia în care valoarea facturii este mai mică decât plafonul stabilit se decontează valoarea facturii, iar în situaţia în care valoarea facturii este mai mare decât plafonul stabilit se decontează valoarea acestuia.</w:t>
      </w:r>
    </w:p>
    <w:p w:rsidR="00033EAB" w:rsidRDefault="00033EAB" w:rsidP="00033EAB">
      <w:pPr>
        <w:jc w:val="both"/>
        <w:rPr>
          <w:rFonts w:ascii="Arial Narrow" w:eastAsia="Times New Roman" w:hAnsi="Arial Narrow" w:cs="Times New Roman"/>
          <w:bCs/>
          <w:sz w:val="22"/>
          <w:szCs w:val="22"/>
          <w:lang w:val="ro-RO"/>
        </w:rPr>
      </w:pPr>
      <w:bookmarkStart w:id="15" w:name="do|ar3"/>
      <w:bookmarkEnd w:id="15"/>
    </w:p>
    <w:p w:rsidR="00033EAB" w:rsidRPr="00033EAB" w:rsidRDefault="00033EAB" w:rsidP="00033EAB">
      <w:pPr>
        <w:jc w:val="both"/>
        <w:rPr>
          <w:rFonts w:ascii="Arial Narrow" w:eastAsia="Times New Roman" w:hAnsi="Arial Narrow" w:cs="Times New Roman"/>
          <w:sz w:val="22"/>
          <w:szCs w:val="22"/>
          <w:lang w:val="ro-RO"/>
        </w:rPr>
      </w:pPr>
      <w:r w:rsidRPr="00033EAB">
        <w:rPr>
          <w:rFonts w:ascii="Arial Narrow" w:eastAsia="Times New Roman" w:hAnsi="Arial Narrow" w:cs="Times New Roman"/>
          <w:bCs/>
          <w:sz w:val="22"/>
          <w:szCs w:val="22"/>
          <w:lang w:val="ro-RO"/>
        </w:rPr>
        <w:t>Art. 3</w:t>
      </w:r>
    </w:p>
    <w:p w:rsidR="00033EAB" w:rsidRPr="00033EAB" w:rsidRDefault="00033EAB" w:rsidP="00033EAB">
      <w:pPr>
        <w:jc w:val="both"/>
        <w:rPr>
          <w:rFonts w:ascii="Arial Narrow" w:eastAsia="Times New Roman" w:hAnsi="Arial Narrow" w:cs="Times New Roman"/>
          <w:sz w:val="22"/>
          <w:szCs w:val="22"/>
          <w:lang w:val="ro-RO"/>
        </w:rPr>
      </w:pPr>
      <w:bookmarkStart w:id="16" w:name="do|ar3|pa1"/>
      <w:bookmarkEnd w:id="16"/>
      <w:r w:rsidRPr="00033EAB">
        <w:rPr>
          <w:rFonts w:ascii="Arial Narrow" w:eastAsia="Times New Roman" w:hAnsi="Arial Narrow" w:cs="Times New Roman"/>
          <w:sz w:val="22"/>
          <w:szCs w:val="22"/>
          <w:lang w:val="ro-RO"/>
        </w:rPr>
        <w:t>Prezentul ordin se aplică până la data de 31 decembrie 2015.</w:t>
      </w:r>
    </w:p>
    <w:p w:rsidR="00033EAB" w:rsidRDefault="00033EAB" w:rsidP="00033EAB">
      <w:pPr>
        <w:jc w:val="both"/>
        <w:rPr>
          <w:rFonts w:ascii="Arial Narrow" w:eastAsia="Times New Roman" w:hAnsi="Arial Narrow" w:cs="Times New Roman"/>
          <w:bCs/>
          <w:sz w:val="22"/>
          <w:szCs w:val="22"/>
          <w:lang w:val="ro-RO"/>
        </w:rPr>
      </w:pPr>
      <w:bookmarkStart w:id="17" w:name="do|ar4"/>
      <w:bookmarkEnd w:id="17"/>
    </w:p>
    <w:p w:rsidR="00033EAB" w:rsidRPr="00033EAB" w:rsidRDefault="00033EAB" w:rsidP="00033EAB">
      <w:pPr>
        <w:jc w:val="both"/>
        <w:rPr>
          <w:rFonts w:ascii="Arial Narrow" w:eastAsia="Times New Roman" w:hAnsi="Arial Narrow" w:cs="Times New Roman"/>
          <w:sz w:val="22"/>
          <w:szCs w:val="22"/>
          <w:lang w:val="ro-RO"/>
        </w:rPr>
      </w:pPr>
      <w:r w:rsidRPr="00033EAB">
        <w:rPr>
          <w:rFonts w:ascii="Arial Narrow" w:eastAsia="Times New Roman" w:hAnsi="Arial Narrow" w:cs="Times New Roman"/>
          <w:bCs/>
          <w:sz w:val="22"/>
          <w:szCs w:val="22"/>
          <w:lang w:val="ro-RO"/>
        </w:rPr>
        <w:t>Art. 4</w:t>
      </w:r>
    </w:p>
    <w:p w:rsidR="00033EAB" w:rsidRPr="00033EAB" w:rsidRDefault="00033EAB" w:rsidP="00033EAB">
      <w:pPr>
        <w:jc w:val="both"/>
        <w:rPr>
          <w:rFonts w:ascii="Arial Narrow" w:eastAsia="Times New Roman" w:hAnsi="Arial Narrow" w:cs="Times New Roman"/>
          <w:sz w:val="22"/>
          <w:szCs w:val="22"/>
          <w:lang w:val="ro-RO"/>
        </w:rPr>
      </w:pPr>
      <w:bookmarkStart w:id="18" w:name="do|ar4|pa1"/>
      <w:bookmarkEnd w:id="18"/>
      <w:r w:rsidRPr="00033EAB">
        <w:rPr>
          <w:rFonts w:ascii="Arial Narrow" w:eastAsia="Times New Roman" w:hAnsi="Arial Narrow" w:cs="Times New Roman"/>
          <w:sz w:val="22"/>
          <w:szCs w:val="22"/>
          <w:lang w:val="ro-RO"/>
        </w:rPr>
        <w:t>Prezentul ordin se publică în Monitorul Oficial al României, Partea I.</w:t>
      </w:r>
    </w:p>
    <w:p w:rsidR="00033EAB" w:rsidRPr="00033EAB" w:rsidRDefault="00033EAB" w:rsidP="00033EAB">
      <w:pPr>
        <w:jc w:val="both"/>
        <w:rPr>
          <w:rFonts w:ascii="Arial Narrow" w:eastAsia="Times New Roman" w:hAnsi="Arial Narrow" w:cs="Times New Roman"/>
          <w:color w:val="000000"/>
          <w:sz w:val="22"/>
          <w:szCs w:val="22"/>
          <w:lang w:val="ro-RO"/>
        </w:rPr>
      </w:pPr>
      <w:bookmarkStart w:id="19" w:name="do|pa4"/>
      <w:bookmarkEnd w:id="19"/>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033EAB" w:rsidRPr="00033EAB" w:rsidTr="00033EAB">
        <w:trPr>
          <w:trHeight w:val="20"/>
          <w:tblCellSpacing w:w="0" w:type="dxa"/>
          <w:jc w:val="center"/>
        </w:trPr>
        <w:tc>
          <w:tcPr>
            <w:tcW w:w="0" w:type="auto"/>
            <w:hideMark/>
          </w:tcPr>
          <w:p w:rsidR="00033EAB" w:rsidRPr="00033EAB" w:rsidRDefault="00033EAB" w:rsidP="00033EAB">
            <w:pPr>
              <w:jc w:val="center"/>
              <w:rPr>
                <w:rFonts w:ascii="Arial Narrow" w:hAnsi="Arial Narrow" w:cs="Times New Roman"/>
                <w:color w:val="000000"/>
                <w:sz w:val="22"/>
                <w:szCs w:val="22"/>
                <w:lang w:val="ro-RO"/>
              </w:rPr>
            </w:pPr>
            <w:bookmarkStart w:id="20" w:name="do|pa5"/>
            <w:bookmarkEnd w:id="20"/>
            <w:r w:rsidRPr="00033EAB">
              <w:rPr>
                <w:rFonts w:ascii="Arial Narrow" w:hAnsi="Arial Narrow" w:cs="Times New Roman"/>
                <w:color w:val="000000"/>
                <w:sz w:val="22"/>
                <w:szCs w:val="22"/>
                <w:lang w:val="ro-RO"/>
              </w:rPr>
              <w:t>Ministrul justiţiei,</w:t>
            </w:r>
          </w:p>
          <w:p w:rsidR="00033EAB" w:rsidRPr="00033EAB" w:rsidRDefault="00033EAB" w:rsidP="00033EAB">
            <w:pPr>
              <w:spacing w:line="20" w:lineRule="atLeast"/>
              <w:jc w:val="center"/>
              <w:rPr>
                <w:rFonts w:ascii="Arial Narrow" w:hAnsi="Arial Narrow" w:cs="Times New Roman"/>
                <w:color w:val="000000"/>
                <w:sz w:val="22"/>
                <w:szCs w:val="22"/>
                <w:lang w:val="ro-RO"/>
              </w:rPr>
            </w:pPr>
            <w:r w:rsidRPr="00033EAB">
              <w:rPr>
                <w:rFonts w:ascii="Arial Narrow" w:hAnsi="Arial Narrow" w:cs="Times New Roman"/>
                <w:b/>
                <w:bCs/>
                <w:color w:val="000000"/>
                <w:sz w:val="22"/>
                <w:szCs w:val="22"/>
                <w:lang w:val="ro-RO"/>
              </w:rPr>
              <w:t>Robert Marius Cazanciuc</w:t>
            </w:r>
          </w:p>
        </w:tc>
      </w:tr>
    </w:tbl>
    <w:p w:rsidR="00033EAB" w:rsidRDefault="00033EAB" w:rsidP="00033EAB">
      <w:pPr>
        <w:jc w:val="both"/>
        <w:rPr>
          <w:rFonts w:ascii="Arial Narrow" w:eastAsia="Times New Roman" w:hAnsi="Arial Narrow" w:cs="Times New Roman"/>
          <w:color w:val="000000"/>
          <w:sz w:val="22"/>
          <w:szCs w:val="22"/>
          <w:lang w:val="ro-RO"/>
        </w:rPr>
      </w:pPr>
      <w:bookmarkStart w:id="21" w:name="do|pa6"/>
      <w:bookmarkEnd w:id="21"/>
    </w:p>
    <w:p w:rsidR="00033EAB" w:rsidRPr="00033EAB" w:rsidRDefault="00033EAB" w:rsidP="00033EAB">
      <w:pPr>
        <w:jc w:val="both"/>
        <w:rPr>
          <w:rFonts w:ascii="Arial Narrow" w:eastAsia="Times New Roman" w:hAnsi="Arial Narrow" w:cs="Times New Roman"/>
          <w:color w:val="000000"/>
          <w:sz w:val="22"/>
          <w:szCs w:val="22"/>
          <w:lang w:val="ro-RO"/>
        </w:rPr>
      </w:pPr>
      <w:r w:rsidRPr="00033EAB">
        <w:rPr>
          <w:rFonts w:ascii="Arial Narrow" w:eastAsia="Times New Roman" w:hAnsi="Arial Narrow" w:cs="Times New Roman"/>
          <w:color w:val="000000"/>
          <w:sz w:val="22"/>
          <w:szCs w:val="22"/>
          <w:lang w:val="ro-RO"/>
        </w:rPr>
        <w:t>Publicat în Monitorul Oficial cu numărul 310 din data de 6 mai 2015</w:t>
      </w:r>
    </w:p>
    <w:p w:rsidR="00F36FA7" w:rsidRPr="00033EAB" w:rsidRDefault="00F36FA7">
      <w:pPr>
        <w:rPr>
          <w:rFonts w:ascii="Arial Narrow" w:hAnsi="Arial Narrow"/>
          <w:sz w:val="22"/>
          <w:szCs w:val="22"/>
        </w:rPr>
      </w:pPr>
    </w:p>
    <w:sectPr w:rsidR="00F36FA7" w:rsidRPr="00033EAB" w:rsidSect="00033EAB">
      <w:pgSz w:w="11900" w:h="16840"/>
      <w:pgMar w:top="720" w:right="720" w:bottom="720" w:left="720" w:header="2835"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EAB"/>
    <w:rsid w:val="00033EAB"/>
    <w:rsid w:val="002313EB"/>
    <w:rsid w:val="00B15FA7"/>
    <w:rsid w:val="00F3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402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
    <w:name w:val="do"/>
    <w:basedOn w:val="DefaultParagraphFont"/>
    <w:rsid w:val="00033EAB"/>
  </w:style>
  <w:style w:type="character" w:styleId="Hyperlink">
    <w:name w:val="Hyperlink"/>
    <w:basedOn w:val="DefaultParagraphFont"/>
    <w:uiPriority w:val="99"/>
    <w:semiHidden/>
    <w:unhideWhenUsed/>
    <w:rsid w:val="00033EAB"/>
    <w:rPr>
      <w:color w:val="0000FF"/>
      <w:u w:val="single"/>
    </w:rPr>
  </w:style>
  <w:style w:type="character" w:customStyle="1" w:styleId="tpa">
    <w:name w:val="tpa"/>
    <w:basedOn w:val="DefaultParagraphFont"/>
    <w:rsid w:val="00033EAB"/>
  </w:style>
  <w:style w:type="character" w:customStyle="1" w:styleId="apple-converted-space">
    <w:name w:val="apple-converted-space"/>
    <w:basedOn w:val="DefaultParagraphFont"/>
    <w:rsid w:val="00033EAB"/>
  </w:style>
  <w:style w:type="character" w:customStyle="1" w:styleId="ar">
    <w:name w:val="ar"/>
    <w:basedOn w:val="DefaultParagraphFont"/>
    <w:rsid w:val="00033EAB"/>
  </w:style>
  <w:style w:type="character" w:customStyle="1" w:styleId="al">
    <w:name w:val="al"/>
    <w:basedOn w:val="DefaultParagraphFont"/>
    <w:rsid w:val="00033EAB"/>
  </w:style>
  <w:style w:type="character" w:customStyle="1" w:styleId="tal">
    <w:name w:val="tal"/>
    <w:basedOn w:val="DefaultParagraphFont"/>
    <w:rsid w:val="00033EAB"/>
  </w:style>
  <w:style w:type="character" w:customStyle="1" w:styleId="li">
    <w:name w:val="li"/>
    <w:basedOn w:val="DefaultParagraphFont"/>
    <w:rsid w:val="00033EAB"/>
  </w:style>
  <w:style w:type="character" w:customStyle="1" w:styleId="tli">
    <w:name w:val="tli"/>
    <w:basedOn w:val="DefaultParagraphFont"/>
    <w:rsid w:val="00033EAB"/>
  </w:style>
  <w:style w:type="paragraph" w:styleId="NormalWeb">
    <w:name w:val="Normal (Web)"/>
    <w:basedOn w:val="Normal"/>
    <w:uiPriority w:val="99"/>
    <w:unhideWhenUsed/>
    <w:rsid w:val="00033EAB"/>
    <w:pPr>
      <w:spacing w:before="100" w:beforeAutospacing="1" w:after="100" w:afterAutospacing="1"/>
    </w:pPr>
    <w:rPr>
      <w:rFonts w:ascii="Times" w:hAnsi="Times" w:cs="Times New Roman"/>
      <w:sz w:val="20"/>
      <w:szCs w:val="20"/>
      <w:lang w:val="ro-R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
    <w:name w:val="do"/>
    <w:basedOn w:val="DefaultParagraphFont"/>
    <w:rsid w:val="00033EAB"/>
  </w:style>
  <w:style w:type="character" w:styleId="Hyperlink">
    <w:name w:val="Hyperlink"/>
    <w:basedOn w:val="DefaultParagraphFont"/>
    <w:uiPriority w:val="99"/>
    <w:semiHidden/>
    <w:unhideWhenUsed/>
    <w:rsid w:val="00033EAB"/>
    <w:rPr>
      <w:color w:val="0000FF"/>
      <w:u w:val="single"/>
    </w:rPr>
  </w:style>
  <w:style w:type="character" w:customStyle="1" w:styleId="tpa">
    <w:name w:val="tpa"/>
    <w:basedOn w:val="DefaultParagraphFont"/>
    <w:rsid w:val="00033EAB"/>
  </w:style>
  <w:style w:type="character" w:customStyle="1" w:styleId="apple-converted-space">
    <w:name w:val="apple-converted-space"/>
    <w:basedOn w:val="DefaultParagraphFont"/>
    <w:rsid w:val="00033EAB"/>
  </w:style>
  <w:style w:type="character" w:customStyle="1" w:styleId="ar">
    <w:name w:val="ar"/>
    <w:basedOn w:val="DefaultParagraphFont"/>
    <w:rsid w:val="00033EAB"/>
  </w:style>
  <w:style w:type="character" w:customStyle="1" w:styleId="al">
    <w:name w:val="al"/>
    <w:basedOn w:val="DefaultParagraphFont"/>
    <w:rsid w:val="00033EAB"/>
  </w:style>
  <w:style w:type="character" w:customStyle="1" w:styleId="tal">
    <w:name w:val="tal"/>
    <w:basedOn w:val="DefaultParagraphFont"/>
    <w:rsid w:val="00033EAB"/>
  </w:style>
  <w:style w:type="character" w:customStyle="1" w:styleId="li">
    <w:name w:val="li"/>
    <w:basedOn w:val="DefaultParagraphFont"/>
    <w:rsid w:val="00033EAB"/>
  </w:style>
  <w:style w:type="character" w:customStyle="1" w:styleId="tli">
    <w:name w:val="tli"/>
    <w:basedOn w:val="DefaultParagraphFont"/>
    <w:rsid w:val="00033EAB"/>
  </w:style>
  <w:style w:type="paragraph" w:styleId="NormalWeb">
    <w:name w:val="Normal (Web)"/>
    <w:basedOn w:val="Normal"/>
    <w:uiPriority w:val="99"/>
    <w:unhideWhenUsed/>
    <w:rsid w:val="00033EAB"/>
    <w:pPr>
      <w:spacing w:before="100" w:beforeAutospacing="1" w:after="100" w:afterAutospacing="1"/>
    </w:pPr>
    <w:rPr>
      <w:rFonts w:ascii="Times" w:hAnsi="Times"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7882">
      <w:bodyDiv w:val="1"/>
      <w:marLeft w:val="0"/>
      <w:marRight w:val="0"/>
      <w:marTop w:val="0"/>
      <w:marBottom w:val="0"/>
      <w:divBdr>
        <w:top w:val="none" w:sz="0" w:space="0" w:color="auto"/>
        <w:left w:val="none" w:sz="0" w:space="0" w:color="auto"/>
        <w:bottom w:val="none" w:sz="0" w:space="0" w:color="auto"/>
        <w:right w:val="none" w:sz="0" w:space="0" w:color="auto"/>
      </w:divBdr>
      <w:divsChild>
        <w:div w:id="1696416534">
          <w:marLeft w:val="0"/>
          <w:marRight w:val="0"/>
          <w:marTop w:val="0"/>
          <w:marBottom w:val="0"/>
          <w:divBdr>
            <w:top w:val="dashed" w:sz="2" w:space="0" w:color="FFFFFF"/>
            <w:left w:val="dashed" w:sz="2" w:space="0" w:color="FFFFFF"/>
            <w:bottom w:val="dashed" w:sz="2" w:space="0" w:color="FFFFFF"/>
            <w:right w:val="dashed" w:sz="2" w:space="0" w:color="FFFFFF"/>
          </w:divBdr>
        </w:div>
        <w:div w:id="1988121626">
          <w:marLeft w:val="0"/>
          <w:marRight w:val="0"/>
          <w:marTop w:val="0"/>
          <w:marBottom w:val="0"/>
          <w:divBdr>
            <w:top w:val="dashed" w:sz="2" w:space="0" w:color="FFFFFF"/>
            <w:left w:val="dashed" w:sz="2" w:space="0" w:color="FFFFFF"/>
            <w:bottom w:val="dashed" w:sz="2" w:space="0" w:color="FFFFFF"/>
            <w:right w:val="dashed" w:sz="2" w:space="0" w:color="FFFFFF"/>
          </w:divBdr>
          <w:divsChild>
            <w:div w:id="1130394539">
              <w:marLeft w:val="0"/>
              <w:marRight w:val="0"/>
              <w:marTop w:val="0"/>
              <w:marBottom w:val="0"/>
              <w:divBdr>
                <w:top w:val="dashed" w:sz="2" w:space="0" w:color="FFFFFF"/>
                <w:left w:val="dashed" w:sz="2" w:space="0" w:color="FFFFFF"/>
                <w:bottom w:val="dashed" w:sz="2" w:space="0" w:color="FFFFFF"/>
                <w:right w:val="dashed" w:sz="2" w:space="0" w:color="FFFFFF"/>
              </w:divBdr>
            </w:div>
            <w:div w:id="596989733">
              <w:marLeft w:val="0"/>
              <w:marRight w:val="0"/>
              <w:marTop w:val="0"/>
              <w:marBottom w:val="0"/>
              <w:divBdr>
                <w:top w:val="dashed" w:sz="2" w:space="0" w:color="FFFFFF"/>
                <w:left w:val="dashed" w:sz="2" w:space="0" w:color="FFFFFF"/>
                <w:bottom w:val="dashed" w:sz="2" w:space="0" w:color="FFFFFF"/>
                <w:right w:val="dashed" w:sz="2" w:space="0" w:color="FFFFFF"/>
              </w:divBdr>
            </w:div>
            <w:div w:id="1322004421">
              <w:marLeft w:val="0"/>
              <w:marRight w:val="0"/>
              <w:marTop w:val="0"/>
              <w:marBottom w:val="0"/>
              <w:divBdr>
                <w:top w:val="dashed" w:sz="2" w:space="0" w:color="FFFFFF"/>
                <w:left w:val="dashed" w:sz="2" w:space="0" w:color="FFFFFF"/>
                <w:bottom w:val="dashed" w:sz="2" w:space="0" w:color="FFFFFF"/>
                <w:right w:val="dashed" w:sz="2" w:space="0" w:color="FFFFFF"/>
              </w:divBdr>
            </w:div>
            <w:div w:id="860050233">
              <w:marLeft w:val="0"/>
              <w:marRight w:val="0"/>
              <w:marTop w:val="0"/>
              <w:marBottom w:val="0"/>
              <w:divBdr>
                <w:top w:val="dashed" w:sz="2" w:space="0" w:color="FFFFFF"/>
                <w:left w:val="dashed" w:sz="2" w:space="0" w:color="FFFFFF"/>
                <w:bottom w:val="dashed" w:sz="2" w:space="0" w:color="FFFFFF"/>
                <w:right w:val="dashed" w:sz="2" w:space="0" w:color="FFFFFF"/>
              </w:divBdr>
            </w:div>
            <w:div w:id="1124730566">
              <w:marLeft w:val="0"/>
              <w:marRight w:val="0"/>
              <w:marTop w:val="0"/>
              <w:marBottom w:val="0"/>
              <w:divBdr>
                <w:top w:val="dashed" w:sz="2" w:space="0" w:color="FFFFFF"/>
                <w:left w:val="dashed" w:sz="2" w:space="0" w:color="FFFFFF"/>
                <w:bottom w:val="dashed" w:sz="2" w:space="0" w:color="FFFFFF"/>
                <w:right w:val="dashed" w:sz="2" w:space="0" w:color="FFFFFF"/>
              </w:divBdr>
              <w:divsChild>
                <w:div w:id="1163158096">
                  <w:marLeft w:val="0"/>
                  <w:marRight w:val="0"/>
                  <w:marTop w:val="0"/>
                  <w:marBottom w:val="0"/>
                  <w:divBdr>
                    <w:top w:val="dashed" w:sz="2" w:space="0" w:color="FFFFFF"/>
                    <w:left w:val="dashed" w:sz="2" w:space="0" w:color="FFFFFF"/>
                    <w:bottom w:val="dashed" w:sz="2" w:space="0" w:color="FFFFFF"/>
                    <w:right w:val="dashed" w:sz="2" w:space="0" w:color="FFFFFF"/>
                  </w:divBdr>
                </w:div>
                <w:div w:id="12607197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2216116">
              <w:marLeft w:val="0"/>
              <w:marRight w:val="0"/>
              <w:marTop w:val="0"/>
              <w:marBottom w:val="0"/>
              <w:divBdr>
                <w:top w:val="dashed" w:sz="2" w:space="0" w:color="FFFFFF"/>
                <w:left w:val="dashed" w:sz="2" w:space="0" w:color="FFFFFF"/>
                <w:bottom w:val="dashed" w:sz="2" w:space="0" w:color="FFFFFF"/>
                <w:right w:val="dashed" w:sz="2" w:space="0" w:color="FFFFFF"/>
              </w:divBdr>
            </w:div>
            <w:div w:id="1186602892">
              <w:marLeft w:val="0"/>
              <w:marRight w:val="0"/>
              <w:marTop w:val="0"/>
              <w:marBottom w:val="0"/>
              <w:divBdr>
                <w:top w:val="dashed" w:sz="2" w:space="0" w:color="FFFFFF"/>
                <w:left w:val="dashed" w:sz="2" w:space="0" w:color="FFFFFF"/>
                <w:bottom w:val="dashed" w:sz="2" w:space="0" w:color="FFFFFF"/>
                <w:right w:val="dashed" w:sz="2" w:space="0" w:color="FFFFFF"/>
              </w:divBdr>
              <w:divsChild>
                <w:div w:id="270864793">
                  <w:marLeft w:val="0"/>
                  <w:marRight w:val="0"/>
                  <w:marTop w:val="0"/>
                  <w:marBottom w:val="0"/>
                  <w:divBdr>
                    <w:top w:val="dashed" w:sz="2" w:space="0" w:color="FFFFFF"/>
                    <w:left w:val="dashed" w:sz="2" w:space="0" w:color="FFFFFF"/>
                    <w:bottom w:val="dashed" w:sz="2" w:space="0" w:color="FFFFFF"/>
                    <w:right w:val="dashed" w:sz="2" w:space="0" w:color="FFFFFF"/>
                  </w:divBdr>
                </w:div>
                <w:div w:id="895044867">
                  <w:marLeft w:val="0"/>
                  <w:marRight w:val="0"/>
                  <w:marTop w:val="0"/>
                  <w:marBottom w:val="0"/>
                  <w:divBdr>
                    <w:top w:val="dashed" w:sz="2" w:space="0" w:color="FFFFFF"/>
                    <w:left w:val="dashed" w:sz="2" w:space="0" w:color="FFFFFF"/>
                    <w:bottom w:val="dashed" w:sz="2" w:space="0" w:color="FFFFFF"/>
                    <w:right w:val="dashed" w:sz="2" w:space="0" w:color="FFFFFF"/>
                  </w:divBdr>
                </w:div>
                <w:div w:id="1182474327">
                  <w:marLeft w:val="0"/>
                  <w:marRight w:val="0"/>
                  <w:marTop w:val="0"/>
                  <w:marBottom w:val="0"/>
                  <w:divBdr>
                    <w:top w:val="dashed" w:sz="2" w:space="0" w:color="FFFFFF"/>
                    <w:left w:val="dashed" w:sz="2" w:space="0" w:color="FFFFFF"/>
                    <w:bottom w:val="dashed" w:sz="2" w:space="0" w:color="FFFFFF"/>
                    <w:right w:val="dashed" w:sz="2" w:space="0" w:color="FFFFFF"/>
                  </w:divBdr>
                  <w:divsChild>
                    <w:div w:id="2130467107">
                      <w:marLeft w:val="0"/>
                      <w:marRight w:val="0"/>
                      <w:marTop w:val="0"/>
                      <w:marBottom w:val="0"/>
                      <w:divBdr>
                        <w:top w:val="dashed" w:sz="2" w:space="0" w:color="FFFFFF"/>
                        <w:left w:val="dashed" w:sz="2" w:space="0" w:color="FFFFFF"/>
                        <w:bottom w:val="dashed" w:sz="2" w:space="0" w:color="FFFFFF"/>
                        <w:right w:val="dashed" w:sz="2" w:space="0" w:color="FFFFFF"/>
                      </w:divBdr>
                    </w:div>
                    <w:div w:id="946929776">
                      <w:marLeft w:val="0"/>
                      <w:marRight w:val="0"/>
                      <w:marTop w:val="0"/>
                      <w:marBottom w:val="0"/>
                      <w:divBdr>
                        <w:top w:val="dashed" w:sz="2" w:space="0" w:color="FFFFFF"/>
                        <w:left w:val="dashed" w:sz="2" w:space="0" w:color="FFFFFF"/>
                        <w:bottom w:val="dashed" w:sz="2" w:space="0" w:color="FFFFFF"/>
                        <w:right w:val="dashed" w:sz="2" w:space="0" w:color="FFFFFF"/>
                      </w:divBdr>
                    </w:div>
                    <w:div w:id="1485125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8442073">
                  <w:marLeft w:val="0"/>
                  <w:marRight w:val="0"/>
                  <w:marTop w:val="0"/>
                  <w:marBottom w:val="0"/>
                  <w:divBdr>
                    <w:top w:val="dashed" w:sz="2" w:space="0" w:color="FFFFFF"/>
                    <w:left w:val="dashed" w:sz="2" w:space="0" w:color="FFFFFF"/>
                    <w:bottom w:val="dashed" w:sz="2" w:space="0" w:color="FFFFFF"/>
                    <w:right w:val="dashed" w:sz="2" w:space="0" w:color="FFFFFF"/>
                  </w:divBdr>
                </w:div>
                <w:div w:id="12634114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5788761">
              <w:marLeft w:val="0"/>
              <w:marRight w:val="0"/>
              <w:marTop w:val="0"/>
              <w:marBottom w:val="0"/>
              <w:divBdr>
                <w:top w:val="dashed" w:sz="2" w:space="0" w:color="FFFFFF"/>
                <w:left w:val="dashed" w:sz="2" w:space="0" w:color="FFFFFF"/>
                <w:bottom w:val="dashed" w:sz="2" w:space="0" w:color="FFFFFF"/>
                <w:right w:val="dashed" w:sz="2" w:space="0" w:color="FFFFFF"/>
              </w:divBdr>
            </w:div>
            <w:div w:id="1272125069">
              <w:marLeft w:val="0"/>
              <w:marRight w:val="0"/>
              <w:marTop w:val="0"/>
              <w:marBottom w:val="0"/>
              <w:divBdr>
                <w:top w:val="dashed" w:sz="2" w:space="0" w:color="FFFFFF"/>
                <w:left w:val="dashed" w:sz="2" w:space="0" w:color="FFFFFF"/>
                <w:bottom w:val="dashed" w:sz="2" w:space="0" w:color="FFFFFF"/>
                <w:right w:val="dashed" w:sz="2" w:space="0" w:color="FFFFFF"/>
              </w:divBdr>
              <w:divsChild>
                <w:div w:id="8432799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46221272">
              <w:marLeft w:val="0"/>
              <w:marRight w:val="0"/>
              <w:marTop w:val="0"/>
              <w:marBottom w:val="0"/>
              <w:divBdr>
                <w:top w:val="dashed" w:sz="2" w:space="0" w:color="FFFFFF"/>
                <w:left w:val="dashed" w:sz="2" w:space="0" w:color="FFFFFF"/>
                <w:bottom w:val="dashed" w:sz="2" w:space="0" w:color="FFFFFF"/>
                <w:right w:val="dashed" w:sz="2" w:space="0" w:color="FFFFFF"/>
              </w:divBdr>
            </w:div>
            <w:div w:id="505173941">
              <w:marLeft w:val="0"/>
              <w:marRight w:val="0"/>
              <w:marTop w:val="0"/>
              <w:marBottom w:val="0"/>
              <w:divBdr>
                <w:top w:val="dashed" w:sz="2" w:space="0" w:color="FFFFFF"/>
                <w:left w:val="dashed" w:sz="2" w:space="0" w:color="FFFFFF"/>
                <w:bottom w:val="dashed" w:sz="2" w:space="0" w:color="FFFFFF"/>
                <w:right w:val="dashed" w:sz="2" w:space="0" w:color="FFFFFF"/>
              </w:divBdr>
              <w:divsChild>
                <w:div w:id="2036423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15247116">
              <w:marLeft w:val="0"/>
              <w:marRight w:val="0"/>
              <w:marTop w:val="0"/>
              <w:marBottom w:val="0"/>
              <w:divBdr>
                <w:top w:val="dashed" w:sz="2" w:space="0" w:color="FFFFFF"/>
                <w:left w:val="dashed" w:sz="2" w:space="0" w:color="FFFFFF"/>
                <w:bottom w:val="dashed" w:sz="2" w:space="0" w:color="FFFFFF"/>
                <w:right w:val="dashed" w:sz="2" w:space="0" w:color="FFFFFF"/>
              </w:divBdr>
            </w:div>
            <w:div w:id="397365374">
              <w:marLeft w:val="0"/>
              <w:marRight w:val="0"/>
              <w:marTop w:val="0"/>
              <w:marBottom w:val="0"/>
              <w:divBdr>
                <w:top w:val="dashed" w:sz="2" w:space="0" w:color="FFFFFF"/>
                <w:left w:val="dashed" w:sz="2" w:space="0" w:color="FFFFFF"/>
                <w:bottom w:val="dashed" w:sz="2" w:space="0" w:color="FFFFFF"/>
                <w:right w:val="dashed" w:sz="2" w:space="0" w:color="FFFFFF"/>
              </w:divBdr>
            </w:div>
            <w:div w:id="582880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drept.ro/00079197.htm" TargetMode="External"/><Relationship Id="rId6" Type="http://schemas.openxmlformats.org/officeDocument/2006/relationships/hyperlink" Target="http://idrept.ro/00123380.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389</Words>
  <Characters>2221</Characters>
  <Application>Microsoft Macintosh Word</Application>
  <DocSecurity>0</DocSecurity>
  <Lines>18</Lines>
  <Paragraphs>5</Paragraphs>
  <ScaleCrop>false</ScaleCrop>
  <Company>SNLP</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Teoroc</dc:creator>
  <cp:keywords/>
  <dc:description/>
  <cp:lastModifiedBy>Stefan Teoroc</cp:lastModifiedBy>
  <cp:revision>1</cp:revision>
  <dcterms:created xsi:type="dcterms:W3CDTF">2015-05-07T19:43:00Z</dcterms:created>
  <dcterms:modified xsi:type="dcterms:W3CDTF">2015-05-07T19:51:00Z</dcterms:modified>
</cp:coreProperties>
</file>